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C0123"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Án lệ số 88/2026/AL về ủy quyền tham gia tố tụng trong vụ án tranh chấp nuôi con được Hội đồng Thẩm phán Tòa án nhân dân tối cao thông qua và được công bố vào ngày 29/5/2026 theo Quyết định 162/QĐ-CA năm 2026 của Chánh án Tòa án nhân dân tối cao.</w:t>
      </w:r>
    </w:p>
    <w:p w14:paraId="26D477A7"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Dưới đây là nội dung Án lệ số 88/2026/AL về ủy quyền tham gia tố tụng trong vụ án tranh chấp nuôi con kèm theo Quyết định 162/QĐ-CA năm 2026.</w:t>
      </w:r>
    </w:p>
    <w:p w14:paraId="516BF7F5"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Nguồn án lệ:</w:t>
      </w:r>
    </w:p>
    <w:p w14:paraId="361462EC"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Bản án sơ thẩm số 34/2023/HNGĐ-ST ngày 08/6/2023 của Tòa án nhân dân thị xã Long Mỹ, tỉnh Hậu Giang về vụ án hôn nhân và gia đình “Tranh chấp ly hôn, nuôi con chung” giữa nguyên đơn là chị Lê Thái A với bị đơn là anh Dương Văn L.</w:t>
      </w:r>
    </w:p>
    <w:p w14:paraId="4723C74F"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Vị trí nội dung án lệ:</w:t>
      </w:r>
    </w:p>
    <w:p w14:paraId="42A1F7CB"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Đoạn 4 và 5 phần “Nhận định của Tòa án”.</w:t>
      </w:r>
    </w:p>
    <w:p w14:paraId="5AABF545"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Khái quát nội dung của án lệ:</w:t>
      </w:r>
    </w:p>
    <w:p w14:paraId="11ED3FB2"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 Tình huống án lệ:</w:t>
      </w:r>
    </w:p>
    <w:p w14:paraId="55B14B28"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Trong vụ án ly hôn, tranh chấp về nuôi con, đương sự ủy quyền cho người khác thay mặt mình tham gia tố tụng đối với phần tranh chấp về nuôi con.</w:t>
      </w:r>
    </w:p>
    <w:p w14:paraId="0D9D1FEA"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 Giải pháp pháp lý:</w:t>
      </w:r>
    </w:p>
    <w:p w14:paraId="5FDE1A70"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Trường hợp này, Tòa án không chấp nhận việc đương sự ủy quyền cho người khác tham gia tố tụng đối với phần tranh chấp về nuôi con.</w:t>
      </w:r>
    </w:p>
    <w:p w14:paraId="66A930FF"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Quy định của pháp luật liên quan đến án lệ:</w:t>
      </w:r>
    </w:p>
    <w:p w14:paraId="03C99F93"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 Điều 25 Bộ luật Dân sự 2015;</w:t>
      </w:r>
    </w:p>
    <w:p w14:paraId="68FB8452"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 Khoản 4 Điều 68 Luật Hôn nhân và gia đình 2014 (sửa đổi, bổ sung năm 2025);</w:t>
      </w:r>
    </w:p>
    <w:p w14:paraId="1410274B"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 Khoản 4 Điều 85 Bộ luật Tố tụng dân sự 2015 (sửa đổi, bổ sung năm 2019, 2020, 2022, 2023, 2024 và 2025).</w:t>
      </w:r>
    </w:p>
    <w:p w14:paraId="4AC01221"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Từ khóa của án lệ:</w:t>
      </w:r>
    </w:p>
    <w:p w14:paraId="45846A6F"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“Tranh chấp về nuôi con”; “Ủy quyền tham gia tố tụng”; “Quyền nhân thân”.</w:t>
      </w:r>
    </w:p>
    <w:p w14:paraId="03F3F420"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NỘI DUNG ÁN LỆ</w:t>
      </w:r>
    </w:p>
    <w:p w14:paraId="40E93442"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i/>
          <w:iCs/>
          <w:kern w:val="0"/>
          <w:sz w:val="24"/>
          <w:szCs w:val="24"/>
          <w14:ligatures w14:val="none"/>
        </w:rPr>
        <w:t xml:space="preserve">“[4] Quá trình giải quyết vụ án, Tòa án nhân dân thị xã Long Mỹ nhận được hợp đồng ủy quyền được công chứng ngày 20/10/2022 giữa chị Lê Thái A (bên ủy quyền) và chị Phạm Ngọc N1 (bên </w:t>
      </w:r>
      <w:r w:rsidRPr="00621EA6">
        <w:rPr>
          <w:rFonts w:ascii="Times New Roman" w:eastAsia="Times New Roman" w:hAnsi="Times New Roman" w:cs="Times New Roman"/>
          <w:i/>
          <w:iCs/>
          <w:kern w:val="0"/>
          <w:sz w:val="24"/>
          <w:szCs w:val="24"/>
          <w14:ligatures w14:val="none"/>
        </w:rPr>
        <w:lastRenderedPageBreak/>
        <w:t>được ủy quyền), trong nội dung ủy quyền có thể hiện bên được ủy quyền được quyền thay mặt và nhân danh bên ủy quyền “Tham gia tố tụng, hòa giải, làm việc tại Tòa án nhân dân các cấp (sơ thẩm, phúc thẩm) đối với phần tranh chấp giành quyền nuôi con chung đối với bé Dương Lê An N, sinh ngày 25/1/2018 và bé Dương Minh K, sinh ngày 20/7/2019”; đồng thời trong phạm vi ủy quyền nêu trên, bên được ủy quyền được toàn quyền quyết định tất cả các vấn đề có liên quan đến các nội dung được ủy quyền, thực hiện quyền và nghĩa vụ theo pháp luật quy định có liên quan đến hành vi ủy quyền. Căn cứ vào khoản 4 Điều 85 Bộ luật Tố tụng dân sự 2015 “Người đại diện theo ủy quyền theo quy định của Bộ luật Dân sự 2015 là người đại diện theo ủy quyền trong tố tụng dân sự”. Căn cứ Điều 562 Bộ luật Dân sự 2015 “Hợp đồng ủy quyền là sự thỏa thuận giữa các bên, theo đó bên được ủy quyền có nghĩa vụ thực hiện công việc nhân danh bên ủy quyền, bên ủy quyền chỉ phải trả thù lao nếu có thỏa thuận hoặc pháp luật có quy định”.</w:t>
      </w:r>
    </w:p>
    <w:p w14:paraId="4D86B080"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i/>
          <w:iCs/>
          <w:kern w:val="0"/>
          <w:sz w:val="24"/>
          <w:szCs w:val="24"/>
          <w14:ligatures w14:val="none"/>
        </w:rPr>
        <w:t>[5] Nhận thấy, việc ủy quyền để yêu cầu giải quyết tranh chấp giành quyền nuôi con chung có liên quan đến quyền nhân thân trong hôn nhân và gia đình, cụ thể là quan hệ cha, mẹ và con theo quy định tại Điều 39 Bộ luật Dân sự 2015 cũng như trong Luật Hôn nhân và gia đình 2014. Đồng thời, căn cứ vào khoản 1 Điều 25 Bộ luật Dân sự 2015 “Quyền nhân thân được quy định trong Bộ luật này là quyền dân sự gắn liền với mỗi cá nhân, không thể chuyển giao cho người khác, trừ trường hợp luật khác có liên quan quy định khác”. Do đó, mặc dù theo khoản 4 Điều 85 Bộ luật Tố tụng dân sự 2015 chỉ đề cập “Đối với việc ly hôn, đương sự không được ủy quyền cho người khác thay mặt mình tham gia tố tụng”. Tuy nhiên, như đã đề cập việc tranh chấp giành quyền nuôi con chung trong vụ án hôn nhân và gia đình có liên quan đến quyền nhân thân của cá nhân. Ngoài ra, khoản 4 Điều 68 Luật Hôn nhân và gia đình 2014 quy định “Mọi thỏa thuận của cha mẹ, con liên quan đến quan hệ nhân thân.... không được làm ảnh hưởng đến quyền, lợi ích hợp pháp của con chưa thành niên... Bên cạnh đó, để giải quyết vấn đề con chung, quá trình giải quyết vụ án Hội đồng xét xử cũng cần thiết cân nhắc đến thái độ, tâm tư, tình cảm của cha, mẹ con. Từ những phân tích nêu trên, Hội đồng xét xử không chấp nhận việc chị Phạm Ngọc N1 được tham gia tố tụng, hòa giải, làm việc tại Tòa án cấp sơ thẩm với tư cách là bên được ủy quyền của chị Lê Thái A đối với phần tranh chấp giành quyền nuôi con chung Dương Lê An N, và Dương Minh K theo nội dung ủy quyền thể hiện tại hợp đồng ủy quyền được công chứng ngày 20/10/2022 giữa chị Lê Thái A (bên ủy quyền) và chị Phạm Ngọc N1 (bên được ủy quyền).”.</w:t>
      </w:r>
    </w:p>
    <w:p w14:paraId="432E0740" w14:textId="77777777" w:rsidR="00621EA6" w:rsidRPr="00621EA6" w:rsidRDefault="00621EA6" w:rsidP="00621EA6">
      <w:pPr>
        <w:spacing w:before="100" w:beforeAutospacing="1" w:after="100" w:afterAutospacing="1" w:line="240" w:lineRule="auto"/>
        <w:jc w:val="both"/>
        <w:outlineLvl w:val="1"/>
        <w:rPr>
          <w:rFonts w:ascii="Times New Roman" w:eastAsia="Times New Roman" w:hAnsi="Times New Roman" w:cs="Times New Roman"/>
          <w:b/>
          <w:bCs/>
          <w:kern w:val="0"/>
          <w:sz w:val="36"/>
          <w:szCs w:val="36"/>
          <w14:ligatures w14:val="none"/>
        </w:rPr>
      </w:pPr>
      <w:r w:rsidRPr="00621EA6">
        <w:rPr>
          <w:rFonts w:ascii="Times New Roman" w:eastAsia="Times New Roman" w:hAnsi="Times New Roman" w:cs="Times New Roman"/>
          <w:b/>
          <w:bCs/>
          <w:kern w:val="0"/>
          <w:sz w:val="36"/>
          <w:szCs w:val="36"/>
          <w14:ligatures w14:val="none"/>
        </w:rPr>
        <w:t>Án lệ được áp dụng trong xét xử sau bao nhiêu ngày kể từ khi công bố?</w:t>
      </w:r>
    </w:p>
    <w:p w14:paraId="57D8F98A"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Theo Nghị quyết 04/2019/NQ-HĐTP thì án lệ được nghiên cứu, áp dụng trong xét xử sau 30 ngày kể từ ngày công bố.</w:t>
      </w:r>
    </w:p>
    <w:p w14:paraId="39EA146D"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Cụ thể, tại Điều 8 Nghị quyết 04/2019/NQ-HĐTP quy định về áp dụng án lệ trong xét xử như sau:</w:t>
      </w:r>
    </w:p>
    <w:p w14:paraId="641E65A6"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b/>
          <w:bCs/>
          <w:kern w:val="0"/>
          <w:sz w:val="24"/>
          <w:szCs w:val="24"/>
          <w14:ligatures w14:val="none"/>
        </w:rPr>
        <w:t>Điều 8. Áp dụng án lệ trong xét xử</w:t>
      </w:r>
    </w:p>
    <w:p w14:paraId="7D2E7927"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1. Án lệ được nghiên cứu, áp dụng trong xét xử sau </w:t>
      </w:r>
      <w:r w:rsidRPr="00621EA6">
        <w:rPr>
          <w:rFonts w:ascii="Times New Roman" w:eastAsia="Times New Roman" w:hAnsi="Times New Roman" w:cs="Times New Roman"/>
          <w:b/>
          <w:bCs/>
          <w:kern w:val="0"/>
          <w:sz w:val="24"/>
          <w:szCs w:val="24"/>
          <w14:ligatures w14:val="none"/>
        </w:rPr>
        <w:t>30 ngày</w:t>
      </w:r>
      <w:r w:rsidRPr="00621EA6">
        <w:rPr>
          <w:rFonts w:ascii="Times New Roman" w:eastAsia="Times New Roman" w:hAnsi="Times New Roman" w:cs="Times New Roman"/>
          <w:kern w:val="0"/>
          <w:sz w:val="24"/>
          <w:szCs w:val="24"/>
          <w14:ligatures w14:val="none"/>
        </w:rPr>
        <w:t> kể từ ngày công bố.</w:t>
      </w:r>
    </w:p>
    <w:p w14:paraId="7AEAC3ED"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 xml:space="preserve">2. Khi xét xử, Thẩm phán, Hội thẩm phải nghiên cứu, áp dụng án lệ, bảo đảm những vụ việc có tình huống pháp lý tương tự thì phải được giải quyết như nhau. Trường hợp vụ việc có tình huống </w:t>
      </w:r>
      <w:r w:rsidRPr="00621EA6">
        <w:rPr>
          <w:rFonts w:ascii="Times New Roman" w:eastAsia="Times New Roman" w:hAnsi="Times New Roman" w:cs="Times New Roman"/>
          <w:kern w:val="0"/>
          <w:sz w:val="24"/>
          <w:szCs w:val="24"/>
          <w14:ligatures w14:val="none"/>
        </w:rPr>
        <w:lastRenderedPageBreak/>
        <w:t>pháp lý tương tự nhưng Tòa án không áp dụng án lệ thì phải nêu rõ lý do trong bản án, quyết định của Tòa án.</w:t>
      </w:r>
    </w:p>
    <w:p w14:paraId="1B6B578E"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3. Trường hợp Tòa án áp dụng án lệ để giải quyết vụ việc thì số, tên án lệ, tình huống pháp lý, giải pháp pháp lý trong án lệ và tình huống pháp lý của vụ việc đang được giải quyết phải được viện dẫn, phân tích trong phần “Nhận định của Tòa án”; tùy từng trường hợp cụ thể có thể trích dẫn toàn bộ hoặc một phần nội dung của án lệ để làm rõ quan điểm của Tòa án trong việc xét xử, giải quyết vụ việc tương tự.</w:t>
      </w:r>
    </w:p>
    <w:p w14:paraId="000AB131" w14:textId="77777777" w:rsidR="00621EA6" w:rsidRPr="00621EA6" w:rsidRDefault="00621EA6" w:rsidP="00621EA6">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621EA6">
        <w:rPr>
          <w:rFonts w:ascii="Times New Roman" w:eastAsia="Times New Roman" w:hAnsi="Times New Roman" w:cs="Times New Roman"/>
          <w:kern w:val="0"/>
          <w:sz w:val="24"/>
          <w:szCs w:val="24"/>
          <w14:ligatures w14:val="none"/>
        </w:rPr>
        <w:t>Như vậy, theo Điều 8 Nghị quyết 04/2019/NQ-HĐTP, án lệ được nghiên cứu, áp dụng trong xét xử sau 30 ngày kể từ ngày công bố. Thẩm phán, Hội thẩm có nghĩa vụ áp dụng án lệ đối với những vụ việc có tình huống pháp lý tương tự; nếu không áp dụng phải nêu rõ lý do trong bản án.</w:t>
      </w:r>
    </w:p>
    <w:p w14:paraId="09A93069" w14:textId="60B16CA0" w:rsidR="00FC6CEF" w:rsidRDefault="00621EA6">
      <w:r>
        <w:t>c</w:t>
      </w:r>
    </w:p>
    <w:sectPr w:rsidR="00FC6C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A6"/>
    <w:rsid w:val="00621EA6"/>
    <w:rsid w:val="00FC6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2480B"/>
  <w15:chartTrackingRefBased/>
  <w15:docId w15:val="{39F4467E-FD7C-47C9-9890-E574C6497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21EA6"/>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21EA6"/>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621EA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621EA6"/>
    <w:rPr>
      <w:b/>
      <w:bCs/>
    </w:rPr>
  </w:style>
  <w:style w:type="character" w:styleId="Emphasis">
    <w:name w:val="Emphasis"/>
    <w:basedOn w:val="DefaultParagraphFont"/>
    <w:uiPriority w:val="20"/>
    <w:qFormat/>
    <w:rsid w:val="00621E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61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840</Words>
  <Characters>4789</Characters>
  <Application>Microsoft Office Word</Application>
  <DocSecurity>0</DocSecurity>
  <Lines>39</Lines>
  <Paragraphs>11</Paragraphs>
  <ScaleCrop>false</ScaleCrop>
  <Company/>
  <LinksUpToDate>false</LinksUpToDate>
  <CharactersWithSpaces>5618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11</dc:creator>
  <cp:keywords/>
  <dc:description/>
  <cp:lastModifiedBy>Win 11</cp:lastModifiedBy>
  <cp:revision>1</cp:revision>
  <dcterms:created xsi:type="dcterms:W3CDTF">2026-07-10T05:06:00Z</dcterms:created>
  <dcterms:modified xsi:type="dcterms:W3CDTF">2026-07-10T05:07:00Z</dcterms:modified>
</cp:coreProperties>
</file>